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A5" w:rsidRPr="00B65CD5" w:rsidRDefault="002D13CB" w:rsidP="00952395">
      <w:pPr>
        <w:pStyle w:val="1"/>
        <w:ind w:left="1" w:right="1" w:firstLine="708"/>
        <w:jc w:val="center"/>
        <w:rPr>
          <w:rFonts w:ascii="Times New Roman" w:hAnsi="Times New Roman"/>
          <w:b/>
        </w:rPr>
      </w:pPr>
      <w:bookmarkStart w:id="0" w:name="_GoBack"/>
      <w:bookmarkEnd w:id="0"/>
      <w:r w:rsidRPr="005120A5">
        <w:rPr>
          <w:rFonts w:ascii="Times New Roman" w:hAnsi="Times New Roman"/>
          <w:b/>
        </w:rPr>
        <w:t>СООБЩЕНИЕ</w:t>
      </w:r>
    </w:p>
    <w:p w:rsidR="007B43A3" w:rsidRPr="005120A5" w:rsidRDefault="00952395" w:rsidP="00952395">
      <w:pPr>
        <w:pStyle w:val="1"/>
        <w:ind w:left="1" w:right="1" w:firstLine="708"/>
        <w:jc w:val="center"/>
        <w:rPr>
          <w:rFonts w:ascii="Times New Roman" w:hAnsi="Times New Roman"/>
          <w:b/>
        </w:rPr>
      </w:pPr>
      <w:r w:rsidRPr="005120A5">
        <w:rPr>
          <w:rFonts w:ascii="Times New Roman" w:hAnsi="Times New Roman"/>
          <w:b/>
        </w:rPr>
        <w:t xml:space="preserve"> </w:t>
      </w:r>
      <w:r w:rsidR="002D13CB" w:rsidRPr="005120A5">
        <w:rPr>
          <w:rFonts w:ascii="Times New Roman" w:hAnsi="Times New Roman"/>
          <w:b/>
          <w:caps/>
        </w:rPr>
        <w:t xml:space="preserve">о </w:t>
      </w:r>
      <w:proofErr w:type="gramStart"/>
      <w:r w:rsidR="002D13CB" w:rsidRPr="005120A5">
        <w:rPr>
          <w:rFonts w:ascii="Times New Roman" w:hAnsi="Times New Roman"/>
          <w:b/>
          <w:caps/>
        </w:rPr>
        <w:t>проведении</w:t>
      </w:r>
      <w:proofErr w:type="gramEnd"/>
      <w:r w:rsidR="002D13CB" w:rsidRPr="005120A5">
        <w:rPr>
          <w:rFonts w:ascii="Times New Roman" w:hAnsi="Times New Roman"/>
          <w:b/>
          <w:caps/>
        </w:rPr>
        <w:t xml:space="preserve"> ВНЕОЧЕРЕДНОГО общего собрания </w:t>
      </w:r>
      <w:r w:rsidR="002D13CB" w:rsidRPr="005120A5">
        <w:rPr>
          <w:rFonts w:ascii="Times New Roman" w:hAnsi="Times New Roman"/>
          <w:b/>
          <w:bCs/>
          <w:caps/>
        </w:rPr>
        <w:t>АКЦИОНЕРОВ</w:t>
      </w:r>
    </w:p>
    <w:p w:rsidR="00952395" w:rsidRPr="005120A5" w:rsidRDefault="00952395" w:rsidP="002D13CB">
      <w:pPr>
        <w:tabs>
          <w:tab w:val="left" w:pos="284"/>
        </w:tabs>
        <w:ind w:left="1"/>
        <w:jc w:val="center"/>
        <w:rPr>
          <w:b/>
          <w:bCs/>
          <w:i/>
          <w:u w:val="single"/>
        </w:rPr>
      </w:pPr>
    </w:p>
    <w:p w:rsidR="007B43A3" w:rsidRPr="005120A5" w:rsidRDefault="007B43A3" w:rsidP="002D13CB">
      <w:pPr>
        <w:tabs>
          <w:tab w:val="left" w:pos="284"/>
        </w:tabs>
        <w:ind w:left="1"/>
        <w:jc w:val="center"/>
        <w:rPr>
          <w:b/>
          <w:bCs/>
          <w:i/>
          <w:u w:val="single"/>
        </w:rPr>
      </w:pPr>
      <w:r w:rsidRPr="005120A5">
        <w:rPr>
          <w:b/>
          <w:bCs/>
          <w:i/>
          <w:u w:val="single"/>
        </w:rPr>
        <w:t>УВАЖАЕМЫЙ АКЦИОНЕР!</w:t>
      </w:r>
    </w:p>
    <w:p w:rsidR="007B43A3" w:rsidRPr="005120A5" w:rsidRDefault="007B43A3" w:rsidP="007B43A3">
      <w:pPr>
        <w:tabs>
          <w:tab w:val="left" w:pos="284"/>
        </w:tabs>
        <w:ind w:left="1"/>
        <w:jc w:val="center"/>
        <w:rPr>
          <w:b/>
          <w:bCs/>
          <w:i/>
          <w:u w:val="single"/>
        </w:rPr>
      </w:pPr>
    </w:p>
    <w:p w:rsidR="007B43A3" w:rsidRPr="005120A5" w:rsidRDefault="007B43A3" w:rsidP="007B43A3">
      <w:pPr>
        <w:suppressAutoHyphens w:val="0"/>
        <w:autoSpaceDE w:val="0"/>
        <w:autoSpaceDN w:val="0"/>
        <w:adjustRightInd w:val="0"/>
        <w:ind w:left="1" w:right="110" w:firstLine="425"/>
        <w:jc w:val="both"/>
      </w:pPr>
      <w:r w:rsidRPr="005120A5">
        <w:t xml:space="preserve">Настоящим уведомляем Вас о том, что ПУБЛИЧНОЕ АКЦИОНЕРНОЕ ОБЩЕСТВО «МУРМАНСКИЙ ТРАЛОВЫЙ ФЛОТ» (далее - ПАО «МТФ» или Общество) с местонахождением по адресу: Россия, 183038, город Мурманск, улица Шмидта, дом 43, в соответствии со ст. 47 ФЗ «Об акционерных обществах», </w:t>
      </w:r>
      <w:r w:rsidRPr="005120A5">
        <w:rPr>
          <w:lang w:eastAsia="ru-RU"/>
        </w:rPr>
        <w:t xml:space="preserve">с решением Совета директоров Общества проводит </w:t>
      </w:r>
      <w:r w:rsidR="00156515" w:rsidRPr="005120A5">
        <w:rPr>
          <w:lang w:eastAsia="ru-RU"/>
        </w:rPr>
        <w:t>внеочередное</w:t>
      </w:r>
      <w:r w:rsidRPr="005120A5">
        <w:rPr>
          <w:lang w:eastAsia="ru-RU"/>
        </w:rPr>
        <w:t xml:space="preserve"> общее собрание акционеров (далее - Собрание), которое состоится </w:t>
      </w:r>
      <w:r w:rsidR="007E6C41" w:rsidRPr="005120A5">
        <w:rPr>
          <w:b/>
          <w:lang w:eastAsia="ru-RU"/>
        </w:rPr>
        <w:t xml:space="preserve">15 </w:t>
      </w:r>
      <w:r w:rsidR="00156515" w:rsidRPr="005120A5">
        <w:rPr>
          <w:b/>
          <w:lang w:eastAsia="ru-RU"/>
        </w:rPr>
        <w:t>сентября</w:t>
      </w:r>
      <w:r w:rsidRPr="005120A5">
        <w:rPr>
          <w:b/>
          <w:lang w:eastAsia="ru-RU"/>
        </w:rPr>
        <w:t xml:space="preserve"> 2017 г.</w:t>
      </w:r>
    </w:p>
    <w:p w:rsidR="00156515" w:rsidRPr="005120A5" w:rsidRDefault="007B43A3" w:rsidP="00156515">
      <w:pPr>
        <w:jc w:val="both"/>
      </w:pPr>
      <w:r w:rsidRPr="005120A5">
        <w:t xml:space="preserve">Форма проведения собрания: </w:t>
      </w:r>
      <w:r w:rsidR="00156515" w:rsidRPr="005120A5">
        <w:rPr>
          <w:b/>
        </w:rPr>
        <w:t>заочное  голосование</w:t>
      </w:r>
    </w:p>
    <w:p w:rsidR="00156515" w:rsidRPr="005120A5" w:rsidRDefault="00156515" w:rsidP="002D13CB">
      <w:pPr>
        <w:pStyle w:val="1"/>
        <w:ind w:right="1" w:firstLine="426"/>
        <w:rPr>
          <w:rFonts w:ascii="Times New Roman" w:hAnsi="Times New Roman"/>
          <w:b/>
          <w:bCs/>
          <w:iCs/>
        </w:rPr>
      </w:pPr>
      <w:r w:rsidRPr="005120A5">
        <w:rPr>
          <w:rFonts w:ascii="Times New Roman" w:hAnsi="Times New Roman"/>
        </w:rPr>
        <w:t xml:space="preserve">В соответствии со статьями 58,60 Федерального закона «Об акционерных обществах» акционер может проголосовать  по вопросам повестки дня Собрания, </w:t>
      </w:r>
      <w:r w:rsidRPr="005120A5">
        <w:rPr>
          <w:rFonts w:ascii="Times New Roman" w:hAnsi="Times New Roman"/>
          <w:b/>
        </w:rPr>
        <w:t xml:space="preserve">направив заполненные бюллетени для голосования по адресу: </w:t>
      </w:r>
      <w:r w:rsidRPr="005120A5">
        <w:rPr>
          <w:rFonts w:ascii="Times New Roman" w:hAnsi="Times New Roman"/>
          <w:b/>
          <w:bCs/>
          <w:iCs/>
        </w:rPr>
        <w:t xml:space="preserve">183038, г. Мурманск, </w:t>
      </w:r>
      <w:r w:rsidR="00506AEE" w:rsidRPr="005120A5">
        <w:rPr>
          <w:rFonts w:ascii="Times New Roman" w:hAnsi="Times New Roman"/>
          <w:b/>
          <w:bCs/>
          <w:iCs/>
        </w:rPr>
        <w:t>ул. Шмидта, д. 43, ПАО «МТФ»</w:t>
      </w:r>
      <w:proofErr w:type="gramStart"/>
      <w:r w:rsidR="00506AEE" w:rsidRPr="005120A5">
        <w:rPr>
          <w:rFonts w:ascii="Times New Roman" w:hAnsi="Times New Roman"/>
          <w:b/>
          <w:bCs/>
          <w:iCs/>
        </w:rPr>
        <w:t xml:space="preserve"> .</w:t>
      </w:r>
      <w:proofErr w:type="gramEnd"/>
    </w:p>
    <w:p w:rsidR="00167B90" w:rsidRPr="005120A5" w:rsidRDefault="00156515" w:rsidP="002D13CB">
      <w:pPr>
        <w:jc w:val="both"/>
        <w:rPr>
          <w:color w:val="000000"/>
          <w:lang w:eastAsia="ru-RU"/>
        </w:rPr>
      </w:pPr>
      <w:r w:rsidRPr="005120A5">
        <w:rPr>
          <w:color w:val="000000"/>
          <w:lang w:eastAsia="ru-RU"/>
        </w:rPr>
        <w:t>Дата окончания приема</w:t>
      </w:r>
      <w:r w:rsidR="007E6C41" w:rsidRPr="005120A5">
        <w:rPr>
          <w:color w:val="000000"/>
          <w:lang w:eastAsia="ru-RU"/>
        </w:rPr>
        <w:t xml:space="preserve"> бюллетеней для голосования – 15</w:t>
      </w:r>
      <w:r w:rsidRPr="005120A5">
        <w:rPr>
          <w:color w:val="000000"/>
          <w:lang w:eastAsia="ru-RU"/>
        </w:rPr>
        <w:t xml:space="preserve"> сентября 2017 года</w:t>
      </w:r>
    </w:p>
    <w:p w:rsidR="002D13CB" w:rsidRPr="005120A5" w:rsidRDefault="002D13CB" w:rsidP="002D13CB">
      <w:pPr>
        <w:jc w:val="both"/>
      </w:pPr>
    </w:p>
    <w:p w:rsidR="0097396A" w:rsidRPr="005120A5" w:rsidRDefault="007B43A3" w:rsidP="0097396A">
      <w:pPr>
        <w:pStyle w:val="1"/>
        <w:ind w:left="1" w:right="1" w:firstLine="0"/>
        <w:jc w:val="center"/>
        <w:rPr>
          <w:rFonts w:ascii="Times New Roman" w:hAnsi="Times New Roman"/>
          <w:b/>
          <w:bCs/>
          <w:u w:val="single"/>
        </w:rPr>
      </w:pPr>
      <w:r w:rsidRPr="005120A5">
        <w:rPr>
          <w:rFonts w:ascii="Times New Roman" w:hAnsi="Times New Roman"/>
          <w:b/>
          <w:bCs/>
          <w:u w:val="single"/>
        </w:rPr>
        <w:t xml:space="preserve">Повестка дня </w:t>
      </w:r>
      <w:r w:rsidR="00156515" w:rsidRPr="005120A5">
        <w:rPr>
          <w:rFonts w:ascii="Times New Roman" w:hAnsi="Times New Roman"/>
          <w:b/>
          <w:bCs/>
          <w:u w:val="single"/>
        </w:rPr>
        <w:t xml:space="preserve">внеочередного </w:t>
      </w:r>
      <w:r w:rsidRPr="005120A5">
        <w:rPr>
          <w:rFonts w:ascii="Times New Roman" w:hAnsi="Times New Roman"/>
          <w:b/>
          <w:bCs/>
          <w:u w:val="single"/>
        </w:rPr>
        <w:t>общего собрания акционеров:</w:t>
      </w:r>
    </w:p>
    <w:p w:rsidR="0097396A" w:rsidRPr="005120A5" w:rsidRDefault="0097396A" w:rsidP="002D13CB">
      <w:pPr>
        <w:pStyle w:val="1"/>
        <w:ind w:right="1" w:firstLine="284"/>
        <w:jc w:val="left"/>
        <w:rPr>
          <w:rFonts w:ascii="Times New Roman" w:hAnsi="Times New Roman"/>
          <w:color w:val="000000"/>
          <w:lang w:eastAsia="ru-RU"/>
        </w:rPr>
      </w:pPr>
      <w:r w:rsidRPr="005120A5">
        <w:rPr>
          <w:rFonts w:ascii="Times New Roman" w:hAnsi="Times New Roman"/>
          <w:color w:val="000000"/>
          <w:lang w:eastAsia="ru-RU"/>
        </w:rPr>
        <w:t xml:space="preserve">1. О </w:t>
      </w:r>
      <w:proofErr w:type="gramStart"/>
      <w:r w:rsidRPr="005120A5">
        <w:rPr>
          <w:rFonts w:ascii="Times New Roman" w:hAnsi="Times New Roman"/>
          <w:color w:val="000000"/>
          <w:lang w:eastAsia="ru-RU"/>
        </w:rPr>
        <w:t>предоставлении</w:t>
      </w:r>
      <w:proofErr w:type="gramEnd"/>
      <w:r w:rsidRPr="005120A5">
        <w:rPr>
          <w:rFonts w:ascii="Times New Roman" w:hAnsi="Times New Roman"/>
          <w:color w:val="000000"/>
          <w:lang w:eastAsia="ru-RU"/>
        </w:rPr>
        <w:t xml:space="preserve"> согласия на совершение взаимосвязанной крупной сделки с Банком ВТБ (ПАО) - заключение ПАО «МТФ» с Банком ВТБ (ПАО) кредитного соглашения;</w:t>
      </w:r>
    </w:p>
    <w:p w:rsidR="0097396A" w:rsidRPr="005120A5" w:rsidRDefault="0097396A" w:rsidP="002D13CB">
      <w:pPr>
        <w:pStyle w:val="1"/>
        <w:ind w:right="1" w:firstLine="284"/>
        <w:jc w:val="left"/>
        <w:rPr>
          <w:rFonts w:ascii="Times New Roman" w:hAnsi="Times New Roman"/>
          <w:color w:val="000000"/>
          <w:lang w:eastAsia="ru-RU"/>
        </w:rPr>
      </w:pPr>
      <w:r w:rsidRPr="005120A5">
        <w:rPr>
          <w:rFonts w:ascii="Times New Roman" w:hAnsi="Times New Roman"/>
          <w:color w:val="000000"/>
          <w:lang w:eastAsia="ru-RU"/>
        </w:rPr>
        <w:t xml:space="preserve">2. О </w:t>
      </w:r>
      <w:proofErr w:type="gramStart"/>
      <w:r w:rsidRPr="005120A5">
        <w:rPr>
          <w:rFonts w:ascii="Times New Roman" w:hAnsi="Times New Roman"/>
          <w:color w:val="000000"/>
          <w:lang w:eastAsia="ru-RU"/>
        </w:rPr>
        <w:t>предоставлении</w:t>
      </w:r>
      <w:proofErr w:type="gramEnd"/>
      <w:r w:rsidRPr="005120A5">
        <w:rPr>
          <w:rFonts w:ascii="Times New Roman" w:hAnsi="Times New Roman"/>
          <w:color w:val="000000"/>
          <w:lang w:eastAsia="ru-RU"/>
        </w:rPr>
        <w:t xml:space="preserve"> согласия на совершение крупных взаимосвязанных сделок, в совершении которых имеется заинтересованность, с Банком ВТБ (ПАО):</w:t>
      </w:r>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lang w:eastAsia="ru-RU"/>
        </w:rPr>
        <w:t xml:space="preserve">2.1. </w:t>
      </w:r>
      <w:proofErr w:type="gramStart"/>
      <w:r w:rsidRPr="005120A5">
        <w:rPr>
          <w:rFonts w:ascii="Times New Roman" w:hAnsi="Times New Roman"/>
          <w:color w:val="000000"/>
        </w:rPr>
        <w:t>Заключение ПАО «МТФ» с Банком ВТБ (ПАО) кредитного соглашения (Со-заёмщики:</w:t>
      </w:r>
      <w:proofErr w:type="gramEnd"/>
      <w:r w:rsidRPr="005120A5">
        <w:rPr>
          <w:rFonts w:ascii="Times New Roman" w:hAnsi="Times New Roman"/>
          <w:color w:val="000000"/>
        </w:rPr>
        <w:t xml:space="preserve"> </w:t>
      </w:r>
      <w:proofErr w:type="gramStart"/>
      <w:r w:rsidRPr="005120A5">
        <w:rPr>
          <w:rFonts w:ascii="Times New Roman" w:hAnsi="Times New Roman"/>
          <w:color w:val="000000"/>
        </w:rPr>
        <w:t>ПАО «МТФ», АО «КАРАТ-1», АО «Рыболовецкая компания «Согра», АО «РЫБПРОМИНВЕСТ», АО «Альтернатива», АО «МУРМАНСКИЙ ГУБЕРНСКИЙ ФЛОТ», АО «АКРОС», ООО «РОЛИЗ», ЗАО «Сахалин Лизинг Флот», АО «ЯМСы»);</w:t>
      </w:r>
      <w:proofErr w:type="gramEnd"/>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2.2. </w:t>
      </w:r>
      <w:proofErr w:type="gramStart"/>
      <w:r w:rsidRPr="005120A5">
        <w:rPr>
          <w:rFonts w:ascii="Times New Roman" w:hAnsi="Times New Roman"/>
          <w:color w:val="000000"/>
        </w:rPr>
        <w:t>Заключение ПАО «МТФ» с Банком ВТБ (ПАО) кредитного соглашения (Со-заёмщики:</w:t>
      </w:r>
      <w:proofErr w:type="gramEnd"/>
      <w:r w:rsidRPr="005120A5">
        <w:rPr>
          <w:rFonts w:ascii="Times New Roman" w:hAnsi="Times New Roman"/>
          <w:color w:val="000000"/>
        </w:rPr>
        <w:t xml:space="preserve"> </w:t>
      </w:r>
      <w:proofErr w:type="gramStart"/>
      <w:r w:rsidRPr="005120A5">
        <w:rPr>
          <w:rFonts w:ascii="Times New Roman" w:hAnsi="Times New Roman"/>
          <w:color w:val="000000"/>
        </w:rPr>
        <w:t>ПАО «МТФ», АО «КАРАТ-1», АО «Рыболовецкая компания «Согра», АО «РЫБПРОМИНВЕСТ», АО «Альтернатива», АО «МУРМАНСКИЙ ГУБЕРНСКИЙ ФЛОТ», АО «АКРОС», ООО «РОЛИЗ», ЗАО «Сахалин Лизинг Флот», АО «ЯМСы», ОАО «Карельские морепродукты», ООО «Магадантралфлот», ООО «Рыболовецкая компания «Полярное море+», ООО «Терминал «Сероглазка»», АО «НОРЕБО РУ»);</w:t>
      </w:r>
      <w:proofErr w:type="gramEnd"/>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2.3. Предоставление ПАО «МТФ» Банку ВТБ (ПАО) независимой безотзывной гарантии в обеспечение исполнения обязатель</w:t>
      </w:r>
      <w:proofErr w:type="gramStart"/>
      <w:r w:rsidRPr="005120A5">
        <w:rPr>
          <w:rFonts w:ascii="Times New Roman" w:hAnsi="Times New Roman"/>
          <w:color w:val="000000"/>
        </w:rPr>
        <w:t>ств сл</w:t>
      </w:r>
      <w:proofErr w:type="gramEnd"/>
      <w:r w:rsidRPr="005120A5">
        <w:rPr>
          <w:rFonts w:ascii="Times New Roman" w:hAnsi="Times New Roman"/>
          <w:color w:val="000000"/>
        </w:rPr>
        <w:t>едующих лиц: АО «КАРАТ-1», АО «РЫБПРОМИНВЕСТ», ООО «РОЛИЗ», АО «Альтернатива», АО «Рыболовецкая компания «Согра», АО «МУРМАНСКИЙ ГУБЕРНСКИЙ ФЛОТ», АО «ЯМСы»;</w:t>
      </w:r>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2.4. Предоставление ПАО «МТФ» Банку ВТБ (ПАО) независимой безотзывной гарантии в обеспечение исполнения обязатель</w:t>
      </w:r>
      <w:proofErr w:type="gramStart"/>
      <w:r w:rsidRPr="005120A5">
        <w:rPr>
          <w:rFonts w:ascii="Times New Roman" w:hAnsi="Times New Roman"/>
          <w:color w:val="000000"/>
        </w:rPr>
        <w:t>ств сл</w:t>
      </w:r>
      <w:proofErr w:type="gramEnd"/>
      <w:r w:rsidRPr="005120A5">
        <w:rPr>
          <w:rFonts w:ascii="Times New Roman" w:hAnsi="Times New Roman"/>
          <w:color w:val="000000"/>
        </w:rPr>
        <w:t>едующих лиц (со-заемщиков): АО «КАРАТ-1», АО «Рыболовецкая компания «Согра», АО «РЫБПРОМИНВЕСТ», АО «Альтернатива», АО «МУРМАНСКИЙ ГУБЕРНСКИЙ ФЛОТ», АО «АКРОС», ООО «РОЛИЗ», ЗАО «Сахалин Лизинг Флот», АО «ЯМСы»;</w:t>
      </w:r>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2.5. Предоставление ПАО «МТФ» Банку ВТБ (ПАО) независимой безотзывной гарантии в обеспечение исполнения обязатель</w:t>
      </w:r>
      <w:proofErr w:type="gramStart"/>
      <w:r w:rsidRPr="005120A5">
        <w:rPr>
          <w:rFonts w:ascii="Times New Roman" w:hAnsi="Times New Roman"/>
          <w:color w:val="000000"/>
        </w:rPr>
        <w:t>ств сл</w:t>
      </w:r>
      <w:proofErr w:type="gramEnd"/>
      <w:r w:rsidRPr="005120A5">
        <w:rPr>
          <w:rFonts w:ascii="Times New Roman" w:hAnsi="Times New Roman"/>
          <w:color w:val="000000"/>
        </w:rPr>
        <w:t>едующих лиц (со-заемщиков): АО «КАРАТ-1», АО «Рыболовецкая компания «Согра», АО «РЫБПРОМИНВЕСТ», АО «Альтернатива», АО «МУРМАНСКИЙ ГУБЕРНСКИЙ ФЛОТ», АО «АКРОС», ООО «РОЛИЗ», ЗАО «Сахалин Лизинг Флот», АО «ЯМСы», ОАО «Карельские морепродукты», ООО «Магадантралфлот», ООО «Рыболовецкая компания «Полярное море+», ООО «Терминал «Сероглазка»», АО «НОРЕБО РУ»;</w:t>
      </w:r>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2.6. </w:t>
      </w:r>
      <w:proofErr w:type="gramStart"/>
      <w:r w:rsidRPr="005120A5">
        <w:rPr>
          <w:rFonts w:ascii="Times New Roman" w:hAnsi="Times New Roman"/>
          <w:color w:val="000000"/>
        </w:rPr>
        <w:t>Заключение с Банком ВТБ (ПАО) договора залога/ последующего залога акций ЗАО «СЛФ» в размере 20%, что составляет 1 000 (Одна тысяча) штук номинальной стоимостью 100,00 (Сто) рублей 00 копеек за 1 акцию, в обеспечение исполнения обязательств ПАО «МТФ» перед Банком ВТБ (ПАО), а также по кредитным соглашениям, которые будут заключены с: ПАО «МТФ», АО «КАРАТ-1», АО «РЫБПРОМИНВЕСТ», ООО «РОЛИЗ», АО</w:t>
      </w:r>
      <w:proofErr w:type="gramEnd"/>
      <w:r w:rsidRPr="005120A5">
        <w:rPr>
          <w:rFonts w:ascii="Times New Roman" w:hAnsi="Times New Roman"/>
          <w:color w:val="000000"/>
        </w:rPr>
        <w:t xml:space="preserve"> «Альтернатива», АО «Рыболовецкая компания «Согра», АО «МУРМАНСКИЙ ГУБЕРНСКИЙ ФЛОТ», АО «ЯМСы»;</w:t>
      </w:r>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2.7. </w:t>
      </w:r>
      <w:proofErr w:type="gramStart"/>
      <w:r w:rsidRPr="005120A5">
        <w:rPr>
          <w:rFonts w:ascii="Times New Roman" w:hAnsi="Times New Roman"/>
          <w:color w:val="000000"/>
        </w:rPr>
        <w:t>Заключение с Банком ВТБ (ПАО) договора залога/ последующего залога акций ОАО «КМП» в размере 100%, что составляет 300 (Триста) штук номинальной стоимостью 1 000,00 (Одна тысяча) рублей 00 копеек каждая, в качестве обеспечения исполнения обязательств ПАО «МТФ» перед Банком ВТБ (ПАО), а также по кредитным соглашениям, которые будут заключены с: АО «КАРАТ-1», АО «РЫБПРОМИНВЕСТ», ООО «РОЛИЗ», АО «Альтернатива», АО «Рыболовецкая</w:t>
      </w:r>
      <w:proofErr w:type="gramEnd"/>
      <w:r w:rsidRPr="005120A5">
        <w:rPr>
          <w:rFonts w:ascii="Times New Roman" w:hAnsi="Times New Roman"/>
          <w:color w:val="000000"/>
        </w:rPr>
        <w:t xml:space="preserve"> компания «Согра», АО «МУРМАНСКИЙ ГУБЕРНСКИЙ ФЛОТ», АО «ЯМСы»;</w:t>
      </w:r>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2.8. </w:t>
      </w:r>
      <w:proofErr w:type="gramStart"/>
      <w:r w:rsidRPr="005120A5">
        <w:rPr>
          <w:rFonts w:ascii="Times New Roman" w:hAnsi="Times New Roman"/>
          <w:color w:val="000000"/>
        </w:rPr>
        <w:t>Заключение с Банком ВТБ (ПАО) договора залога/ последующего залога акций АО «МГФ» в размере 100%, что составляет 33353 (Тридцать три тысячи триста пятьдесят три) штуки номинальной стоимостью 1 000,00 (Одна тысяча) рублей 00 копеек каждая, в качестве обеспечения исполнения обязательств ПАО «МТФ» перед Банком ВТБ (ПАО), а также по кредитным соглашениям, которые будут заключены с: АО «КАРАТ-1», АО «РЫБПРОМИНВЕСТ», ООО</w:t>
      </w:r>
      <w:proofErr w:type="gramEnd"/>
      <w:r w:rsidRPr="005120A5">
        <w:rPr>
          <w:rFonts w:ascii="Times New Roman" w:hAnsi="Times New Roman"/>
          <w:color w:val="000000"/>
        </w:rPr>
        <w:t xml:space="preserve"> «РОЛИЗ», АО «Альтернатива», АО «Рыболовецкая компания «Согра», АО «МУРМАНСКИЙ ГУБЕРНСКИЙ ФЛОТ», АО «ЯМСы»;</w:t>
      </w:r>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2.9.  </w:t>
      </w:r>
      <w:proofErr w:type="gramStart"/>
      <w:r w:rsidRPr="005120A5">
        <w:rPr>
          <w:rFonts w:ascii="Times New Roman" w:hAnsi="Times New Roman"/>
          <w:color w:val="000000"/>
        </w:rPr>
        <w:t>Заключение с Банком ВТБ (ПАО) договора залога/ последующего залога акций ЗАО «СЛФ» в размере 20%, что составляет 1 000 (Одна тысяча) штук номинальной стоимостью 100,00 (Сто) рублей 00 копеек каждая, в качестве обеспечения исполнения обязательств созаёмщиков - ПАО «МТФ», АО «КАРАТ-1», АО «Рыболовецкая компания «Согра», АО «РЫБПРОМИНВЕСТ», АО «Альтернатива», АО «МУРМАНСКИЙ ГУБЕРНСКИЙ ФЛОТ», АО «АКРОС», ООО «РОЛИЗ», ЗАО «Сахалин Лизинг Флот</w:t>
      </w:r>
      <w:proofErr w:type="gramEnd"/>
      <w:r w:rsidRPr="005120A5">
        <w:rPr>
          <w:rFonts w:ascii="Times New Roman" w:hAnsi="Times New Roman"/>
          <w:color w:val="000000"/>
        </w:rPr>
        <w:t>», АО «ЯМСы», ОАО «Карельские морепродукты», ООО «Магадантралфлот», ООО «Рыболовецкая компания «Полярное море+», ООО «Терминал «Сероглазка»», АО «НОРЕБО РУ» - перед Банком ВТБ (ПАО) по кредитному соглашению;</w:t>
      </w:r>
    </w:p>
    <w:p w:rsidR="0097396A"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2.10. </w:t>
      </w:r>
      <w:proofErr w:type="gramStart"/>
      <w:r w:rsidRPr="005120A5">
        <w:rPr>
          <w:rFonts w:ascii="Times New Roman" w:hAnsi="Times New Roman"/>
          <w:color w:val="000000"/>
        </w:rPr>
        <w:t>Заключение с Банком ВТБ (ПАО) договора залога/ последующего залога акций ОАО «КМП» в размере 100%, что составляет 300 (Триста) штук номинальной стоимостью 1 000,00 (Одна тысяча) рублей 00 копеек каждая, в качестве обеспечения исполнения обязательств созаёмщиков - ПАО «МТФ», АО «КАРАТ-1», АО «Рыболовецкая компания «Согра», АО «РЫБПРОМИНВЕСТ», АО «Альтернатива», АО «МУРМАНСКИЙ ГУБЕРНСКИЙ ФЛОТ», АО «АКРОС», ООО «РОЛИЗ», ЗАО «Сахалин Лизинг Флот</w:t>
      </w:r>
      <w:proofErr w:type="gramEnd"/>
      <w:r w:rsidRPr="005120A5">
        <w:rPr>
          <w:rFonts w:ascii="Times New Roman" w:hAnsi="Times New Roman"/>
          <w:color w:val="000000"/>
        </w:rPr>
        <w:t xml:space="preserve">», АО «ЯМСы», ОАО «Карельские морепродукты», ООО </w:t>
      </w:r>
      <w:r w:rsidRPr="005120A5">
        <w:rPr>
          <w:rFonts w:ascii="Times New Roman" w:hAnsi="Times New Roman"/>
          <w:color w:val="000000"/>
        </w:rPr>
        <w:lastRenderedPageBreak/>
        <w:t>«Магадантралфлот», ООО «Рыболовецкая компания «Полярное море+», ООО «Терминал «Сероглазка»», АО «НОРЕБО РУ» - перед Банком ВТБ (ПАО) по кредитному соглашению;</w:t>
      </w:r>
    </w:p>
    <w:p w:rsidR="002D13CB" w:rsidRPr="005120A5" w:rsidRDefault="00B65CD5" w:rsidP="002D13CB">
      <w:pPr>
        <w:pStyle w:val="1"/>
        <w:ind w:right="1" w:firstLine="284"/>
        <w:jc w:val="left"/>
        <w:rPr>
          <w:rFonts w:ascii="Times New Roman" w:hAnsi="Times New Roman"/>
          <w:color w:val="000000"/>
        </w:rPr>
      </w:pPr>
      <w:proofErr w:type="gramStart"/>
      <w:r>
        <w:rPr>
          <w:rFonts w:ascii="Times New Roman" w:hAnsi="Times New Roman"/>
          <w:color w:val="000000"/>
        </w:rPr>
        <w:t>2.11.</w:t>
      </w:r>
      <w:r w:rsidR="0097396A" w:rsidRPr="005120A5">
        <w:rPr>
          <w:rFonts w:ascii="Times New Roman" w:hAnsi="Times New Roman"/>
          <w:color w:val="000000"/>
        </w:rPr>
        <w:t>Заключение с Банком ВТБ (ПАО) договора залога/последующего залога акций АО «МГФ» в размере 100%, что составляет 33353 (Тридцать три тысячи триста пятьдесят три) штуки номинальной стоимостью 1 000,00 (Одна тысяча) рублей 00 копеек каждая, в качестве обеспечения исполнения созаёмщиков - ПАО «МТФ», АО «КАРАТ-1», АО «Рыболовецкая компания «Согра», АО «РЫБПРОМИНВЕСТ», АО «Альтернатива», АО «МУРМАНСКИЙ ГУБЕРНСКИЙ ФЛОТ», АО «АКРОС», ООО</w:t>
      </w:r>
      <w:proofErr w:type="gramEnd"/>
      <w:r w:rsidR="0097396A" w:rsidRPr="005120A5">
        <w:rPr>
          <w:rFonts w:ascii="Times New Roman" w:hAnsi="Times New Roman"/>
          <w:color w:val="000000"/>
        </w:rPr>
        <w:t xml:space="preserve"> «РОЛИЗ», ЗАО «Сахалин Лизинг Флот», АО «ЯМСы», ОАО «Карельские морепродукты», ООО «Магадантралфлот», ООО «Рыболовецкая компания «Полярное море+», ООО «Терминал «Сероглазка»», АО «НОРЕБО РУ» - перед Банком ВТБ (ПАО) по кредитному соглашению;</w:t>
      </w:r>
    </w:p>
    <w:p w:rsidR="002D13CB" w:rsidRPr="005120A5" w:rsidRDefault="0097396A"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2.12. </w:t>
      </w:r>
      <w:proofErr w:type="gramStart"/>
      <w:r w:rsidRPr="005120A5">
        <w:rPr>
          <w:rFonts w:ascii="Times New Roman" w:hAnsi="Times New Roman"/>
          <w:color w:val="000000"/>
        </w:rPr>
        <w:t>Заключение ПАО «МТФ» с Банком ВТБ (ПАО) договора ипотеки/последующей ипотеки судов М-0275 «АЛЕКСАНДР КОСАРЕВ», М-0202 «Борис Зайцев», М-0204 «Яков Гунин», М-0356 «РЫБАК», МК-0361 «ВАСИЛИЙ ГОЛОВНИН», МК-0378 «КАПИТАН НАЗИН», МК-0358 «МЕХАНИК КОВТУН», М-0278 «Бухта Наездник» в качестве обеспечения исполнения обязательств ПАО «МТФ» перед Банком ВТБ (ПАО) по кредитному соглашению, а также по кредитным соглашениям, которые будут заключены с: ПАО «МТФ</w:t>
      </w:r>
      <w:proofErr w:type="gramEnd"/>
      <w:r w:rsidRPr="005120A5">
        <w:rPr>
          <w:rFonts w:ascii="Times New Roman" w:hAnsi="Times New Roman"/>
          <w:color w:val="000000"/>
        </w:rPr>
        <w:t>», АО «КАРАТ-1», АО «РЫБПРОМИНВЕСТ», ООО «РОЛИЗ», АО «Альтернатива», АО «Рыболовецкая компания «Согра», АО «МУРМАНСКИЙ ГУБЕРНСКИЙ ФЛОТ», АО «ЯМСы»;</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2.13. </w:t>
      </w:r>
      <w:proofErr w:type="gramStart"/>
      <w:r w:rsidR="0097396A" w:rsidRPr="005120A5">
        <w:rPr>
          <w:rFonts w:ascii="Times New Roman" w:hAnsi="Times New Roman"/>
          <w:color w:val="000000"/>
        </w:rPr>
        <w:t>Заключение ПАО «МТФ» с Банком ВТБ (ПАО) договора ипотеки/последующей ипотеки судов М-0275 «АЛЕКСАНДР КОСАРЕВ», М-0202 «Борис Зайцев», М-0204 «Яков Гунин», М-0356 «РЫБАК», МК-0361 «ВАСИЛИЙ ГОЛОВНИН», МК-0378 «КАПИТАН НАЗИН», МК-0358 «МЕХАНИК КОВТУН», М-0278 «Бухта Наездник» в качестве обеспечения исполнения обязательств созаёмщиков - ПАО «МТФ», АО «КАРАТ-1», АО «Рыболовецкая компания «Согра», АО «РЫБПРОМИНВЕСТ», АО «Альтернатива», АО «МУРМАНСКИЙ ГУБЕРНСКИЙ ФЛОТ», АО «АКРОС», ООО</w:t>
      </w:r>
      <w:proofErr w:type="gramEnd"/>
      <w:r w:rsidR="0097396A" w:rsidRPr="005120A5">
        <w:rPr>
          <w:rFonts w:ascii="Times New Roman" w:hAnsi="Times New Roman"/>
          <w:color w:val="000000"/>
        </w:rPr>
        <w:t xml:space="preserve"> «РОЛИЗ», ЗАО «Сахалин Лизинг Флот», АО «ЯМСы», ОАО «Карельские морепродукты», ООО «Магадантралфлот», ООО «Рыболовецкая компания «Полярное море+», ООО «Терминал «Сероглазка»», АО «НОРЕБО РУ» - перед Банком ВТБ (ПАО) по кредитному соглашению;</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2.14. </w:t>
      </w:r>
      <w:r w:rsidR="0097396A" w:rsidRPr="005120A5">
        <w:rPr>
          <w:rFonts w:ascii="Times New Roman" w:hAnsi="Times New Roman"/>
          <w:color w:val="000000"/>
        </w:rPr>
        <w:t>Заключение Генерального соглашения о срочных сделках на финансовых рынках;</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2.15.</w:t>
      </w:r>
      <w:r w:rsidR="0097396A" w:rsidRPr="005120A5">
        <w:rPr>
          <w:rFonts w:ascii="Times New Roman" w:hAnsi="Times New Roman"/>
          <w:color w:val="000000"/>
        </w:rPr>
        <w:t xml:space="preserve"> Заключение сделки или серии сделок процентный своп («Процентный своп МТФ»);</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2.16. </w:t>
      </w:r>
      <w:r w:rsidR="0097396A" w:rsidRPr="005120A5">
        <w:rPr>
          <w:rFonts w:ascii="Times New Roman" w:hAnsi="Times New Roman"/>
          <w:color w:val="000000"/>
        </w:rPr>
        <w:t>Заключение сделки или серии сделок фиксации максимума процентной ставки («Сделка кэп МТФ»);</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2.17. </w:t>
      </w:r>
      <w:r w:rsidR="0097396A" w:rsidRPr="005120A5">
        <w:rPr>
          <w:rFonts w:ascii="Times New Roman" w:hAnsi="Times New Roman"/>
          <w:color w:val="000000"/>
        </w:rPr>
        <w:t>Заключение сделки или серии сделок фиксации минимума процентной ставки («Сделка флор МТФ»);</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2.18.</w:t>
      </w:r>
      <w:r w:rsidR="0097396A" w:rsidRPr="005120A5">
        <w:rPr>
          <w:rFonts w:ascii="Times New Roman" w:hAnsi="Times New Roman"/>
          <w:color w:val="000000"/>
        </w:rPr>
        <w:t xml:space="preserve"> Заключение сделки или серии сделок фиксации максимума и минимума процентной ставки («Сделка коллар МТФ»);</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2.19. </w:t>
      </w:r>
      <w:r w:rsidR="0097396A" w:rsidRPr="005120A5">
        <w:rPr>
          <w:rFonts w:ascii="Times New Roman" w:hAnsi="Times New Roman"/>
          <w:color w:val="000000"/>
        </w:rPr>
        <w:t>Выдача независимой гарантии в отношении обязательств АО «РЫБПРОМИНВЕСТ» по соглашению о срочных сделках на финансовых рынках АО «РЫБПРОМИНВЕСТ» с Банком ВТБ (ПАО);</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2.20. </w:t>
      </w:r>
      <w:r w:rsidR="0097396A" w:rsidRPr="005120A5">
        <w:rPr>
          <w:rFonts w:ascii="Times New Roman" w:hAnsi="Times New Roman"/>
          <w:color w:val="000000"/>
        </w:rPr>
        <w:t>Выдача гарантии в отношении обязательств АО «Рыболовецкая компания «Согра» по соглашению о срочных сделках на финансовых рынках АО «Рыболовецкая компания «Согра» с Банком ВТБ (ПАО);</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2.21 </w:t>
      </w:r>
      <w:r w:rsidR="0097396A" w:rsidRPr="005120A5">
        <w:rPr>
          <w:rFonts w:ascii="Times New Roman" w:hAnsi="Times New Roman"/>
          <w:color w:val="000000"/>
        </w:rPr>
        <w:t>Выдача гарантии в отношении обязательств АО «Альтернатива» по соглашению о срочных сделках на финансовых рынках АО «Альтернатива» с Банком ВТБ (ПАО);</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 xml:space="preserve">2.22. </w:t>
      </w:r>
      <w:r w:rsidR="0097396A" w:rsidRPr="005120A5">
        <w:rPr>
          <w:rFonts w:ascii="Times New Roman" w:hAnsi="Times New Roman"/>
          <w:color w:val="000000"/>
        </w:rPr>
        <w:t xml:space="preserve">Заключение договора залога/последующего залога 100% акций АО «МУРМАНСКИЙ ГУБЕРНСКИЙ ФЛОТ», обеспечивающего все обязательства Акционерного общества «Норебо Холдинг» по Гарантии Холдинга; </w:t>
      </w:r>
    </w:p>
    <w:p w:rsidR="002D13CB" w:rsidRPr="005120A5" w:rsidRDefault="002D13CB" w:rsidP="002D13CB">
      <w:pPr>
        <w:pStyle w:val="1"/>
        <w:ind w:right="1" w:firstLine="284"/>
        <w:jc w:val="left"/>
        <w:rPr>
          <w:rFonts w:ascii="Times New Roman" w:hAnsi="Times New Roman"/>
          <w:color w:val="000000"/>
        </w:rPr>
      </w:pPr>
      <w:r w:rsidRPr="005120A5">
        <w:rPr>
          <w:rFonts w:ascii="Times New Roman" w:hAnsi="Times New Roman"/>
          <w:color w:val="000000"/>
        </w:rPr>
        <w:t>2.23.</w:t>
      </w:r>
      <w:r w:rsidR="0097396A" w:rsidRPr="005120A5">
        <w:rPr>
          <w:rFonts w:ascii="Times New Roman" w:hAnsi="Times New Roman"/>
          <w:color w:val="000000"/>
        </w:rPr>
        <w:t xml:space="preserve"> Заключение договора залога или последующего залога 20% акций ЗАО «СЛФ», обеспечивающего все обязательства Акционерного общества «Норебо Холдинг» по Гарантии Холдинга;</w:t>
      </w:r>
    </w:p>
    <w:p w:rsidR="001A679F" w:rsidRPr="005120A5" w:rsidRDefault="002D13CB" w:rsidP="002D13CB">
      <w:pPr>
        <w:pStyle w:val="1"/>
        <w:ind w:right="1" w:firstLine="284"/>
        <w:jc w:val="left"/>
        <w:rPr>
          <w:rFonts w:ascii="Times New Roman" w:hAnsi="Times New Roman"/>
          <w:color w:val="000000"/>
          <w:lang w:eastAsia="ru-RU"/>
        </w:rPr>
      </w:pPr>
      <w:r w:rsidRPr="005120A5">
        <w:rPr>
          <w:rFonts w:ascii="Times New Roman" w:hAnsi="Times New Roman"/>
          <w:color w:val="000000"/>
        </w:rPr>
        <w:t>2.24.</w:t>
      </w:r>
      <w:r w:rsidR="0097396A" w:rsidRPr="005120A5">
        <w:rPr>
          <w:rFonts w:ascii="Times New Roman" w:hAnsi="Times New Roman"/>
          <w:color w:val="000000"/>
        </w:rPr>
        <w:t xml:space="preserve"> Заключение договора залога или последующего залога 100% акций ОАО «КМП», обеспечивающего все обязательства Акционерного общества «Норебо Холдинг» по Гарантии Холдинга.</w:t>
      </w:r>
    </w:p>
    <w:p w:rsidR="002D13CB" w:rsidRPr="005120A5" w:rsidRDefault="002D13CB" w:rsidP="002D13CB">
      <w:pPr>
        <w:keepNext/>
        <w:keepLines/>
        <w:tabs>
          <w:tab w:val="left" w:pos="540"/>
        </w:tabs>
        <w:ind w:firstLine="284"/>
        <w:jc w:val="both"/>
        <w:rPr>
          <w:color w:val="000000"/>
        </w:rPr>
      </w:pPr>
    </w:p>
    <w:p w:rsidR="00156515" w:rsidRPr="005120A5" w:rsidRDefault="007B43A3" w:rsidP="002D13CB">
      <w:pPr>
        <w:pStyle w:val="ConsPlusNormal"/>
        <w:ind w:firstLine="540"/>
        <w:jc w:val="both"/>
        <w:rPr>
          <w:b w:val="0"/>
          <w:sz w:val="20"/>
          <w:szCs w:val="20"/>
        </w:rPr>
      </w:pPr>
      <w:r w:rsidRPr="005120A5">
        <w:rPr>
          <w:b w:val="0"/>
          <w:sz w:val="20"/>
          <w:szCs w:val="20"/>
        </w:rPr>
        <w:t>Дата, на которую определяются (фиксируются) лица, имеющие право на участие в</w:t>
      </w:r>
      <w:r w:rsidR="007E6C41" w:rsidRPr="005120A5">
        <w:rPr>
          <w:b w:val="0"/>
          <w:sz w:val="20"/>
          <w:szCs w:val="20"/>
        </w:rPr>
        <w:t xml:space="preserve"> общем собрании акционеров - “21</w:t>
      </w:r>
      <w:r w:rsidR="00156515" w:rsidRPr="005120A5">
        <w:rPr>
          <w:b w:val="0"/>
          <w:sz w:val="20"/>
          <w:szCs w:val="20"/>
        </w:rPr>
        <w:t xml:space="preserve">” августа </w:t>
      </w:r>
      <w:r w:rsidR="00952395" w:rsidRPr="005120A5">
        <w:rPr>
          <w:b w:val="0"/>
          <w:sz w:val="20"/>
          <w:szCs w:val="20"/>
        </w:rPr>
        <w:t>2017 года.</w:t>
      </w:r>
    </w:p>
    <w:p w:rsidR="00952395" w:rsidRPr="005120A5" w:rsidRDefault="00952395" w:rsidP="002D13CB">
      <w:pPr>
        <w:pStyle w:val="ConsPlusNormal"/>
        <w:ind w:firstLine="540"/>
        <w:jc w:val="both"/>
        <w:rPr>
          <w:b w:val="0"/>
          <w:sz w:val="20"/>
          <w:szCs w:val="20"/>
        </w:rPr>
      </w:pPr>
    </w:p>
    <w:p w:rsidR="002D13CB" w:rsidRPr="005120A5" w:rsidRDefault="00156515" w:rsidP="002D13CB">
      <w:pPr>
        <w:pStyle w:val="Normal1"/>
        <w:ind w:left="1"/>
        <w:jc w:val="both"/>
        <w:rPr>
          <w:sz w:val="20"/>
        </w:rPr>
      </w:pPr>
      <w:r w:rsidRPr="005120A5">
        <w:rPr>
          <w:sz w:val="20"/>
        </w:rPr>
        <w:t xml:space="preserve">С информацией (материалами), предоставляемой акционерам при подготовке к проведению внеочередного общего собрания акционеров, </w:t>
      </w:r>
      <w:r w:rsidR="002D13CB" w:rsidRPr="005120A5">
        <w:rPr>
          <w:sz w:val="20"/>
        </w:rPr>
        <w:t>можно ознакомиться, начиная с 25</w:t>
      </w:r>
      <w:r w:rsidRPr="005120A5">
        <w:rPr>
          <w:sz w:val="20"/>
        </w:rPr>
        <w:t xml:space="preserve"> августа  2017 г., с 10.00 до 16.00, по адресу: г. Мурманск, ул. Шмидта, д. 43, каб. 414.</w:t>
      </w:r>
    </w:p>
    <w:p w:rsidR="002D13CB" w:rsidRPr="005120A5" w:rsidRDefault="002D13CB" w:rsidP="002D13CB">
      <w:pPr>
        <w:suppressAutoHyphens w:val="0"/>
        <w:autoSpaceDE w:val="0"/>
        <w:autoSpaceDN w:val="0"/>
        <w:adjustRightInd w:val="0"/>
        <w:jc w:val="both"/>
        <w:outlineLvl w:val="1"/>
      </w:pPr>
    </w:p>
    <w:p w:rsidR="00156515" w:rsidRPr="005120A5" w:rsidRDefault="00156515" w:rsidP="002D13CB">
      <w:pPr>
        <w:suppressAutoHyphens w:val="0"/>
        <w:autoSpaceDE w:val="0"/>
        <w:autoSpaceDN w:val="0"/>
        <w:adjustRightInd w:val="0"/>
        <w:jc w:val="both"/>
        <w:outlineLvl w:val="1"/>
      </w:pPr>
      <w:r w:rsidRPr="005120A5">
        <w:t>Акционеры — владельцы голосующих акций вправе требовать выкупа Обществом всех или части принадлежащих им акций в </w:t>
      </w:r>
      <w:proofErr w:type="gramStart"/>
      <w:r w:rsidRPr="005120A5">
        <w:t>в</w:t>
      </w:r>
      <w:proofErr w:type="gramEnd"/>
      <w:r w:rsidRPr="005120A5">
        <w:t xml:space="preserve"> случае п</w:t>
      </w:r>
      <w:r w:rsidRPr="005120A5">
        <w:rPr>
          <w:lang w:eastAsia="ru-RU"/>
        </w:rPr>
        <w:t>ринятия общим собранием акционеров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156515" w:rsidRPr="005120A5" w:rsidRDefault="00156515" w:rsidP="00156515">
      <w:pPr>
        <w:pBdr>
          <w:top w:val="single" w:sz="4" w:space="1" w:color="auto"/>
          <w:left w:val="single" w:sz="4" w:space="4" w:color="auto"/>
          <w:bottom w:val="single" w:sz="4" w:space="1" w:color="auto"/>
          <w:right w:val="single" w:sz="4" w:space="4" w:color="auto"/>
        </w:pBdr>
        <w:jc w:val="both"/>
      </w:pPr>
      <w:r w:rsidRPr="005120A5">
        <w:t>Цена выкупа акций Общества определена Советом директоров Общества по рыночной стоимости, определенной независимым оценщиком:</w:t>
      </w:r>
    </w:p>
    <w:p w:rsidR="00156515" w:rsidRPr="005120A5" w:rsidRDefault="00156515" w:rsidP="00156515">
      <w:pPr>
        <w:pBdr>
          <w:top w:val="single" w:sz="4" w:space="1" w:color="auto"/>
          <w:left w:val="single" w:sz="4" w:space="4" w:color="auto"/>
          <w:bottom w:val="single" w:sz="4" w:space="1" w:color="auto"/>
          <w:right w:val="single" w:sz="4" w:space="4" w:color="auto"/>
        </w:pBdr>
        <w:rPr>
          <w:color w:val="000000"/>
          <w:shd w:val="clear" w:color="auto" w:fill="FFFFFF"/>
        </w:rPr>
      </w:pPr>
      <w:r w:rsidRPr="005120A5">
        <w:rPr>
          <w:lang w:eastAsia="ru-RU"/>
        </w:rPr>
        <w:t xml:space="preserve">– </w:t>
      </w:r>
      <w:r w:rsidRPr="005120A5">
        <w:t>2 474,33 (две тысячи четыреста семьдесят четыре) рубля 33 копейки за одну обыкновенную акцию ПАО «МТФ».</w:t>
      </w:r>
    </w:p>
    <w:p w:rsidR="00156515" w:rsidRPr="005120A5" w:rsidRDefault="00156515" w:rsidP="00156515">
      <w:pPr>
        <w:jc w:val="both"/>
        <w:rPr>
          <w:lang w:eastAsia="ru-RU"/>
        </w:rPr>
      </w:pPr>
      <w:r w:rsidRPr="005120A5">
        <w:rPr>
          <w:lang w:eastAsia="ru-RU"/>
        </w:rPr>
        <w:t xml:space="preserve">Выкуп акций производится на </w:t>
      </w:r>
      <w:proofErr w:type="gramStart"/>
      <w:r w:rsidRPr="005120A5">
        <w:rPr>
          <w:lang w:eastAsia="ru-RU"/>
        </w:rPr>
        <w:t>основании</w:t>
      </w:r>
      <w:proofErr w:type="gramEnd"/>
      <w:r w:rsidRPr="005120A5">
        <w:rPr>
          <w:lang w:eastAsia="ru-RU"/>
        </w:rPr>
        <w:t xml:space="preserve"> требований акционеров, отвечающим требованиям ст. 76 ФЗ «Об акционерных обществах».</w:t>
      </w:r>
    </w:p>
    <w:p w:rsidR="002D13CB" w:rsidRPr="005120A5" w:rsidRDefault="00156515" w:rsidP="002D13CB">
      <w:pPr>
        <w:widowControl w:val="0"/>
        <w:tabs>
          <w:tab w:val="left" w:pos="426"/>
        </w:tabs>
        <w:suppressAutoHyphens w:val="0"/>
        <w:autoSpaceDE w:val="0"/>
        <w:autoSpaceDN w:val="0"/>
        <w:ind w:firstLine="567"/>
        <w:jc w:val="both"/>
        <w:rPr>
          <w:lang w:eastAsia="ru-RU"/>
        </w:rPr>
      </w:pPr>
      <w:proofErr w:type="gramStart"/>
      <w:r w:rsidRPr="005120A5">
        <w:rPr>
          <w:lang w:eastAsia="ru-RU"/>
        </w:rPr>
        <w:t xml:space="preserve">Требование о выкупе акций акционера, зарегистрированного в реестре акционеров общества, или отзыв такого требования предъявляются </w:t>
      </w:r>
      <w:r w:rsidRPr="005120A5">
        <w:rPr>
          <w:b/>
          <w:lang w:eastAsia="ru-RU"/>
        </w:rPr>
        <w:t>регистратору Общества - АО «Новый регистратор</w:t>
      </w:r>
      <w:r w:rsidRPr="005D0E35">
        <w:rPr>
          <w:b/>
          <w:lang w:eastAsia="ru-RU"/>
        </w:rPr>
        <w:t>»</w:t>
      </w:r>
      <w:r w:rsidR="005D0E35" w:rsidRPr="005D0E35">
        <w:rPr>
          <w:b/>
          <w:lang w:eastAsia="ru-RU"/>
        </w:rPr>
        <w:t xml:space="preserve"> (</w:t>
      </w:r>
      <w:smartTag w:uri="urn:schemas-microsoft-com:office:smarttags" w:element="metricconverter">
        <w:smartTagPr>
          <w:attr w:name="ProductID" w:val="107996, г"/>
        </w:smartTagPr>
        <w:r w:rsidR="005D0E35" w:rsidRPr="005D0E35">
          <w:rPr>
            <w:bCs/>
          </w:rPr>
          <w:t>107996, г</w:t>
        </w:r>
      </w:smartTag>
      <w:r w:rsidR="005D0E35" w:rsidRPr="005D0E35">
        <w:rPr>
          <w:bCs/>
        </w:rPr>
        <w:t>. Москва, ул. Буженинова, д. 30, стр.1</w:t>
      </w:r>
      <w:r w:rsidR="005D0E35" w:rsidRPr="005D0E35">
        <w:rPr>
          <w:b/>
          <w:lang w:eastAsia="ru-RU"/>
        </w:rPr>
        <w:t>)</w:t>
      </w:r>
      <w:r w:rsidRPr="005D0E35">
        <w:rPr>
          <w:lang w:eastAsia="ru-RU"/>
        </w:rPr>
        <w:t xml:space="preserve"> путем направления по почте либо вручения под роспись документа в письменной</w:t>
      </w:r>
      <w:r w:rsidRPr="005120A5">
        <w:rPr>
          <w:lang w:eastAsia="ru-RU"/>
        </w:rPr>
        <w:t xml:space="preserve">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w:t>
      </w:r>
      <w:proofErr w:type="gramEnd"/>
      <w:r w:rsidRPr="005120A5">
        <w:rPr>
          <w:lang w:eastAsia="ru-RU"/>
        </w:rPr>
        <w:t xml:space="preserve"> путем направления электронного документа, подписанного квалифицированной электронной подписью. В </w:t>
      </w:r>
      <w:proofErr w:type="gramStart"/>
      <w:r w:rsidRPr="005120A5">
        <w:rPr>
          <w:lang w:eastAsia="ru-RU"/>
        </w:rPr>
        <w:t>требовании</w:t>
      </w:r>
      <w:proofErr w:type="gramEnd"/>
      <w:r w:rsidRPr="005120A5">
        <w:rPr>
          <w:lang w:eastAsia="ru-RU"/>
        </w:rPr>
        <w:t xml:space="preserve"> должны содержаться сведения, позволяющие </w:t>
      </w:r>
      <w:r w:rsidRPr="005120A5">
        <w:rPr>
          <w:b/>
          <w:lang w:eastAsia="ru-RU"/>
        </w:rPr>
        <w:t>идентифицировать</w:t>
      </w:r>
      <w:r w:rsidRPr="005120A5">
        <w:rPr>
          <w:lang w:eastAsia="ru-RU"/>
        </w:rPr>
        <w:t xml:space="preserve"> предъявившего его акционера, а также </w:t>
      </w:r>
      <w:r w:rsidRPr="005120A5">
        <w:rPr>
          <w:b/>
          <w:lang w:eastAsia="ru-RU"/>
        </w:rPr>
        <w:t>количество акций</w:t>
      </w:r>
      <w:r w:rsidRPr="005120A5">
        <w:rPr>
          <w:lang w:eastAsia="ru-RU"/>
        </w:rPr>
        <w:t>, выкупа которых он требует.</w:t>
      </w:r>
    </w:p>
    <w:p w:rsidR="00156515" w:rsidRPr="005120A5" w:rsidRDefault="00156515" w:rsidP="002D13CB">
      <w:pPr>
        <w:widowControl w:val="0"/>
        <w:tabs>
          <w:tab w:val="left" w:pos="426"/>
        </w:tabs>
        <w:suppressAutoHyphens w:val="0"/>
        <w:autoSpaceDE w:val="0"/>
        <w:autoSpaceDN w:val="0"/>
        <w:ind w:firstLine="567"/>
        <w:jc w:val="both"/>
        <w:rPr>
          <w:lang w:eastAsia="ru-RU"/>
        </w:rPr>
      </w:pPr>
      <w:r w:rsidRPr="005120A5">
        <w:rPr>
          <w:lang w:eastAsia="ru-RU"/>
        </w:rPr>
        <w:lastRenderedPageBreak/>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156515" w:rsidRPr="005120A5" w:rsidRDefault="00156515" w:rsidP="00156515">
      <w:pPr>
        <w:widowControl w:val="0"/>
        <w:tabs>
          <w:tab w:val="left" w:pos="426"/>
        </w:tabs>
        <w:suppressAutoHyphens w:val="0"/>
        <w:autoSpaceDE w:val="0"/>
        <w:autoSpaceDN w:val="0"/>
        <w:ind w:firstLine="567"/>
        <w:jc w:val="both"/>
        <w:rPr>
          <w:lang w:eastAsia="ru-RU"/>
        </w:rPr>
      </w:pPr>
      <w:r w:rsidRPr="005120A5">
        <w:rPr>
          <w:lang w:eastAsia="ru-RU"/>
        </w:rPr>
        <w:t xml:space="preserve">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w:t>
      </w:r>
    </w:p>
    <w:p w:rsidR="00156515" w:rsidRPr="005120A5" w:rsidRDefault="00156515" w:rsidP="002D13CB">
      <w:pPr>
        <w:tabs>
          <w:tab w:val="left" w:pos="426"/>
        </w:tabs>
        <w:suppressAutoHyphens w:val="0"/>
        <w:autoSpaceDN w:val="0"/>
        <w:ind w:firstLine="567"/>
        <w:jc w:val="both"/>
        <w:textAlignment w:val="baseline"/>
      </w:pPr>
      <w:r w:rsidRPr="005120A5">
        <w:t>По истечении 45 дней, общество обязано выкупить акции у акционеров, включенных в список лиц, имеющих право требовать выкупа обществом принадлежащих им акций, в течение 30 дней.</w:t>
      </w:r>
    </w:p>
    <w:p w:rsidR="00156515" w:rsidRPr="005120A5" w:rsidRDefault="00156515" w:rsidP="002D13CB">
      <w:pPr>
        <w:tabs>
          <w:tab w:val="left" w:pos="426"/>
        </w:tabs>
        <w:suppressAutoHyphens w:val="0"/>
        <w:autoSpaceDN w:val="0"/>
        <w:ind w:firstLine="567"/>
        <w:jc w:val="both"/>
        <w:textAlignment w:val="baseline"/>
        <w:rPr>
          <w:lang w:eastAsia="ru-RU"/>
        </w:rPr>
      </w:pPr>
      <w:r w:rsidRPr="005120A5">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w:t>
      </w:r>
    </w:p>
    <w:p w:rsidR="00156515" w:rsidRPr="005120A5" w:rsidRDefault="00156515" w:rsidP="00156515">
      <w:pPr>
        <w:tabs>
          <w:tab w:val="left" w:pos="426"/>
        </w:tabs>
        <w:suppressAutoHyphens w:val="0"/>
        <w:autoSpaceDN w:val="0"/>
        <w:ind w:firstLine="567"/>
        <w:jc w:val="both"/>
        <w:textAlignment w:val="baseline"/>
        <w:rPr>
          <w:lang w:eastAsia="ru-RU"/>
        </w:rPr>
      </w:pPr>
      <w:r w:rsidRPr="005120A5">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rsidR="00952395" w:rsidRPr="005120A5" w:rsidRDefault="00952395" w:rsidP="00952395">
      <w:pPr>
        <w:adjustRightInd w:val="0"/>
        <w:ind w:right="255"/>
        <w:jc w:val="both"/>
        <w:rPr>
          <w:bCs/>
        </w:rPr>
      </w:pPr>
    </w:p>
    <w:p w:rsidR="00952395" w:rsidRPr="005120A5" w:rsidRDefault="00952395" w:rsidP="00952395">
      <w:pPr>
        <w:adjustRightInd w:val="0"/>
        <w:ind w:right="255"/>
        <w:jc w:val="both"/>
        <w:rPr>
          <w:bCs/>
        </w:rPr>
      </w:pPr>
      <w:r w:rsidRPr="005120A5">
        <w:rPr>
          <w:bCs/>
        </w:rPr>
        <w:t>Идентификационные признаки акций, владельцы которых имеют право на участие в общем собрании акционеров эмитента:</w:t>
      </w:r>
    </w:p>
    <w:p w:rsidR="00952395" w:rsidRPr="005120A5" w:rsidRDefault="00952395" w:rsidP="00952395">
      <w:pPr>
        <w:adjustRightInd w:val="0"/>
        <w:ind w:right="255" w:firstLine="540"/>
        <w:jc w:val="both"/>
      </w:pPr>
      <w:r w:rsidRPr="005120A5">
        <w:t xml:space="preserve"> - вид, категория (тип), серия - акция обыкновенная именная бездокументарная; </w:t>
      </w:r>
    </w:p>
    <w:p w:rsidR="00952395" w:rsidRPr="005120A5" w:rsidRDefault="00952395" w:rsidP="00952395">
      <w:pPr>
        <w:adjustRightInd w:val="0"/>
        <w:ind w:right="255" w:firstLine="540"/>
        <w:jc w:val="both"/>
      </w:pPr>
      <w:r w:rsidRPr="005120A5">
        <w:t>- государственный регистрационный номер выпуска эмиссионных ценных бумаг эмитента и дата его государственной регистрации- 1-01-00087-А 24.12.1992г.</w:t>
      </w:r>
    </w:p>
    <w:p w:rsidR="00156515" w:rsidRPr="005120A5" w:rsidRDefault="00156515" w:rsidP="00156515">
      <w:pPr>
        <w:jc w:val="both"/>
        <w:rPr>
          <w:lang w:eastAsia="ru-RU"/>
        </w:rPr>
      </w:pPr>
    </w:p>
    <w:p w:rsidR="00AC11E5" w:rsidRPr="005120A5" w:rsidRDefault="00AC11E5" w:rsidP="007B43A3">
      <w:pPr>
        <w:spacing w:before="100" w:beforeAutospacing="1"/>
        <w:jc w:val="both"/>
      </w:pPr>
    </w:p>
    <w:sectPr w:rsidR="00AC11E5" w:rsidRPr="005120A5" w:rsidSect="002D13CB">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550832"/>
    <w:multiLevelType w:val="multilevel"/>
    <w:tmpl w:val="354068F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nsid w:val="63C137BA"/>
    <w:multiLevelType w:val="multilevel"/>
    <w:tmpl w:val="13947CF8"/>
    <w:lvl w:ilvl="0">
      <w:start w:val="1"/>
      <w:numFmt w:val="decimal"/>
      <w:lvlText w:val="%1."/>
      <w:lvlJc w:val="left"/>
      <w:pPr>
        <w:ind w:left="927" w:hanging="360"/>
      </w:pPr>
      <w:rPr>
        <w:rFonts w:ascii="Times New Roman" w:eastAsia="Arial" w:hAnsi="Times New Roman" w:cs="Times New Roman"/>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29"/>
    <w:rsid w:val="00005DA7"/>
    <w:rsid w:val="00011AD1"/>
    <w:rsid w:val="000233B6"/>
    <w:rsid w:val="00156515"/>
    <w:rsid w:val="00167B90"/>
    <w:rsid w:val="001A679F"/>
    <w:rsid w:val="001C19A6"/>
    <w:rsid w:val="00227A38"/>
    <w:rsid w:val="002D13CB"/>
    <w:rsid w:val="00345748"/>
    <w:rsid w:val="00393F2A"/>
    <w:rsid w:val="00506AEE"/>
    <w:rsid w:val="005120A5"/>
    <w:rsid w:val="005920E1"/>
    <w:rsid w:val="005D0E35"/>
    <w:rsid w:val="007B43A3"/>
    <w:rsid w:val="007E6C41"/>
    <w:rsid w:val="00952395"/>
    <w:rsid w:val="0097396A"/>
    <w:rsid w:val="009A4529"/>
    <w:rsid w:val="00AC11E5"/>
    <w:rsid w:val="00B65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A3"/>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7B43A3"/>
    <w:pPr>
      <w:keepNext/>
      <w:tabs>
        <w:tab w:val="num" w:pos="360"/>
      </w:tabs>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43A3"/>
    <w:rPr>
      <w:rFonts w:ascii="Times New Roman" w:eastAsia="Times New Roman" w:hAnsi="Times New Roman" w:cs="Times New Roman"/>
      <w:b/>
      <w:sz w:val="24"/>
      <w:szCs w:val="20"/>
      <w:lang w:eastAsia="ar-SA"/>
    </w:rPr>
  </w:style>
  <w:style w:type="paragraph" w:customStyle="1" w:styleId="1">
    <w:name w:val="Обычный1"/>
    <w:rsid w:val="007B43A3"/>
    <w:pPr>
      <w:suppressAutoHyphens/>
      <w:spacing w:after="0" w:line="240" w:lineRule="auto"/>
      <w:ind w:firstLine="709"/>
      <w:jc w:val="both"/>
    </w:pPr>
    <w:rPr>
      <w:rFonts w:ascii="HelvDL" w:eastAsia="Arial" w:hAnsi="HelvDL" w:cs="Times New Roman"/>
      <w:sz w:val="20"/>
      <w:szCs w:val="20"/>
      <w:lang w:eastAsia="ar-SA"/>
    </w:rPr>
  </w:style>
  <w:style w:type="paragraph" w:customStyle="1" w:styleId="Normal1">
    <w:name w:val="Normal1"/>
    <w:rsid w:val="007B43A3"/>
    <w:pPr>
      <w:widowControl w:val="0"/>
      <w:suppressAutoHyphens/>
      <w:spacing w:after="0" w:line="240" w:lineRule="auto"/>
      <w:ind w:firstLine="709"/>
    </w:pPr>
    <w:rPr>
      <w:rFonts w:ascii="Times New Roman" w:eastAsia="Arial" w:hAnsi="Times New Roman" w:cs="Times New Roman"/>
      <w:sz w:val="24"/>
      <w:szCs w:val="20"/>
      <w:lang w:eastAsia="ar-SA"/>
    </w:rPr>
  </w:style>
  <w:style w:type="paragraph" w:customStyle="1" w:styleId="ConsPlusNormal">
    <w:name w:val="ConsPlusNormal"/>
    <w:rsid w:val="007B43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0233B6"/>
  </w:style>
  <w:style w:type="paragraph" w:customStyle="1" w:styleId="2">
    <w:name w:val="Обычный2"/>
    <w:rsid w:val="001C19A6"/>
    <w:pPr>
      <w:suppressAutoHyphens/>
      <w:spacing w:after="0" w:line="240" w:lineRule="auto"/>
      <w:ind w:firstLine="709"/>
      <w:jc w:val="both"/>
    </w:pPr>
    <w:rPr>
      <w:rFonts w:ascii="HelvDL" w:eastAsia="Arial" w:hAnsi="HelvDL" w:cs="Times New Roman"/>
      <w:sz w:val="20"/>
      <w:szCs w:val="20"/>
      <w:lang w:eastAsia="ar-SA"/>
    </w:rPr>
  </w:style>
  <w:style w:type="paragraph" w:customStyle="1" w:styleId="31">
    <w:name w:val="Основной текст с отступом 31"/>
    <w:basedOn w:val="a"/>
    <w:rsid w:val="001C19A6"/>
    <w:pPr>
      <w:ind w:firstLine="709"/>
      <w:jc w:val="both"/>
    </w:pPr>
    <w:rPr>
      <w:sz w:val="24"/>
    </w:rPr>
  </w:style>
  <w:style w:type="paragraph" w:customStyle="1" w:styleId="21">
    <w:name w:val="Основной текст с отступом 21"/>
    <w:basedOn w:val="a"/>
    <w:rsid w:val="00156515"/>
    <w:pPr>
      <w:ind w:firstLine="567"/>
      <w:jc w:val="both"/>
    </w:pPr>
    <w:rPr>
      <w:sz w:val="24"/>
    </w:rPr>
  </w:style>
  <w:style w:type="paragraph" w:styleId="a3">
    <w:name w:val="List Paragraph"/>
    <w:aliases w:val="Нумерованый список"/>
    <w:basedOn w:val="a"/>
    <w:link w:val="a4"/>
    <w:uiPriority w:val="34"/>
    <w:qFormat/>
    <w:rsid w:val="0097396A"/>
    <w:pPr>
      <w:suppressAutoHyphens w:val="0"/>
      <w:ind w:left="720"/>
    </w:pPr>
    <w:rPr>
      <w:rFonts w:ascii="Calibri" w:eastAsia="Calibri" w:hAnsi="Calibri"/>
      <w:sz w:val="22"/>
      <w:szCs w:val="22"/>
    </w:rPr>
  </w:style>
  <w:style w:type="character" w:customStyle="1" w:styleId="a4">
    <w:name w:val="Абзац списка Знак"/>
    <w:aliases w:val="Нумерованый список Знак"/>
    <w:link w:val="a3"/>
    <w:uiPriority w:val="34"/>
    <w:locked/>
    <w:rsid w:val="009739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A3"/>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7B43A3"/>
    <w:pPr>
      <w:keepNext/>
      <w:tabs>
        <w:tab w:val="num" w:pos="360"/>
      </w:tabs>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43A3"/>
    <w:rPr>
      <w:rFonts w:ascii="Times New Roman" w:eastAsia="Times New Roman" w:hAnsi="Times New Roman" w:cs="Times New Roman"/>
      <w:b/>
      <w:sz w:val="24"/>
      <w:szCs w:val="20"/>
      <w:lang w:eastAsia="ar-SA"/>
    </w:rPr>
  </w:style>
  <w:style w:type="paragraph" w:customStyle="1" w:styleId="1">
    <w:name w:val="Обычный1"/>
    <w:rsid w:val="007B43A3"/>
    <w:pPr>
      <w:suppressAutoHyphens/>
      <w:spacing w:after="0" w:line="240" w:lineRule="auto"/>
      <w:ind w:firstLine="709"/>
      <w:jc w:val="both"/>
    </w:pPr>
    <w:rPr>
      <w:rFonts w:ascii="HelvDL" w:eastAsia="Arial" w:hAnsi="HelvDL" w:cs="Times New Roman"/>
      <w:sz w:val="20"/>
      <w:szCs w:val="20"/>
      <w:lang w:eastAsia="ar-SA"/>
    </w:rPr>
  </w:style>
  <w:style w:type="paragraph" w:customStyle="1" w:styleId="Normal1">
    <w:name w:val="Normal1"/>
    <w:rsid w:val="007B43A3"/>
    <w:pPr>
      <w:widowControl w:val="0"/>
      <w:suppressAutoHyphens/>
      <w:spacing w:after="0" w:line="240" w:lineRule="auto"/>
      <w:ind w:firstLine="709"/>
    </w:pPr>
    <w:rPr>
      <w:rFonts w:ascii="Times New Roman" w:eastAsia="Arial" w:hAnsi="Times New Roman" w:cs="Times New Roman"/>
      <w:sz w:val="24"/>
      <w:szCs w:val="20"/>
      <w:lang w:eastAsia="ar-SA"/>
    </w:rPr>
  </w:style>
  <w:style w:type="paragraph" w:customStyle="1" w:styleId="ConsPlusNormal">
    <w:name w:val="ConsPlusNormal"/>
    <w:rsid w:val="007B43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0233B6"/>
  </w:style>
  <w:style w:type="paragraph" w:customStyle="1" w:styleId="2">
    <w:name w:val="Обычный2"/>
    <w:rsid w:val="001C19A6"/>
    <w:pPr>
      <w:suppressAutoHyphens/>
      <w:spacing w:after="0" w:line="240" w:lineRule="auto"/>
      <w:ind w:firstLine="709"/>
      <w:jc w:val="both"/>
    </w:pPr>
    <w:rPr>
      <w:rFonts w:ascii="HelvDL" w:eastAsia="Arial" w:hAnsi="HelvDL" w:cs="Times New Roman"/>
      <w:sz w:val="20"/>
      <w:szCs w:val="20"/>
      <w:lang w:eastAsia="ar-SA"/>
    </w:rPr>
  </w:style>
  <w:style w:type="paragraph" w:customStyle="1" w:styleId="31">
    <w:name w:val="Основной текст с отступом 31"/>
    <w:basedOn w:val="a"/>
    <w:rsid w:val="001C19A6"/>
    <w:pPr>
      <w:ind w:firstLine="709"/>
      <w:jc w:val="both"/>
    </w:pPr>
    <w:rPr>
      <w:sz w:val="24"/>
    </w:rPr>
  </w:style>
  <w:style w:type="paragraph" w:customStyle="1" w:styleId="21">
    <w:name w:val="Основной текст с отступом 21"/>
    <w:basedOn w:val="a"/>
    <w:rsid w:val="00156515"/>
    <w:pPr>
      <w:ind w:firstLine="567"/>
      <w:jc w:val="both"/>
    </w:pPr>
    <w:rPr>
      <w:sz w:val="24"/>
    </w:rPr>
  </w:style>
  <w:style w:type="paragraph" w:styleId="a3">
    <w:name w:val="List Paragraph"/>
    <w:aliases w:val="Нумерованый список"/>
    <w:basedOn w:val="a"/>
    <w:link w:val="a4"/>
    <w:uiPriority w:val="34"/>
    <w:qFormat/>
    <w:rsid w:val="0097396A"/>
    <w:pPr>
      <w:suppressAutoHyphens w:val="0"/>
      <w:ind w:left="720"/>
    </w:pPr>
    <w:rPr>
      <w:rFonts w:ascii="Calibri" w:eastAsia="Calibri" w:hAnsi="Calibri"/>
      <w:sz w:val="22"/>
      <w:szCs w:val="22"/>
    </w:rPr>
  </w:style>
  <w:style w:type="character" w:customStyle="1" w:styleId="a4">
    <w:name w:val="Абзац списка Знак"/>
    <w:aliases w:val="Нумерованый список Знак"/>
    <w:link w:val="a3"/>
    <w:uiPriority w:val="34"/>
    <w:locked/>
    <w:rsid w:val="009739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39562">
      <w:bodyDiv w:val="1"/>
      <w:marLeft w:val="0"/>
      <w:marRight w:val="0"/>
      <w:marTop w:val="0"/>
      <w:marBottom w:val="0"/>
      <w:divBdr>
        <w:top w:val="none" w:sz="0" w:space="0" w:color="auto"/>
        <w:left w:val="none" w:sz="0" w:space="0" w:color="auto"/>
        <w:bottom w:val="none" w:sz="0" w:space="0" w:color="auto"/>
        <w:right w:val="none" w:sz="0" w:space="0" w:color="auto"/>
      </w:divBdr>
    </w:div>
    <w:div w:id="16533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Shestakova</dc:creator>
  <cp:lastModifiedBy>Shestakova </cp:lastModifiedBy>
  <cp:revision>2</cp:revision>
  <dcterms:created xsi:type="dcterms:W3CDTF">2018-11-23T12:16:00Z</dcterms:created>
  <dcterms:modified xsi:type="dcterms:W3CDTF">2018-11-23T12:16:00Z</dcterms:modified>
</cp:coreProperties>
</file>